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360" w:lineRule="auto"/>
        <w:ind w:firstLine="0" w:firstLineChars="0"/>
        <w:jc w:val="center"/>
        <w:rPr>
          <w:rFonts w:ascii="黑体" w:hAnsi="黑体" w:eastAsia="黑体"/>
          <w:b/>
          <w:sz w:val="72"/>
          <w:szCs w:val="72"/>
        </w:rPr>
      </w:pPr>
      <w:r>
        <w:rPr>
          <w:rFonts w:hint="eastAsia" w:ascii="黑体" w:hAnsi="黑体" w:eastAsia="黑体"/>
          <w:b/>
          <w:sz w:val="72"/>
          <w:szCs w:val="72"/>
        </w:rPr>
        <w:t>2</w:t>
      </w:r>
      <w:r>
        <w:rPr>
          <w:rFonts w:ascii="黑体" w:hAnsi="黑体" w:eastAsia="黑体"/>
          <w:b/>
          <w:sz w:val="72"/>
          <w:szCs w:val="72"/>
        </w:rPr>
        <w:t>0</w:t>
      </w:r>
      <w:r>
        <w:rPr>
          <w:rFonts w:hint="eastAsia" w:ascii="黑体" w:hAnsi="黑体" w:eastAsia="黑体"/>
          <w:b/>
          <w:sz w:val="72"/>
          <w:szCs w:val="72"/>
          <w:lang w:val="en-US" w:eastAsia="zh-CN"/>
        </w:rPr>
        <w:t>21</w:t>
      </w:r>
      <w:r>
        <w:rPr>
          <w:rFonts w:hint="eastAsia" w:ascii="黑体" w:hAnsi="黑体" w:eastAsia="黑体"/>
          <w:b/>
          <w:sz w:val="72"/>
          <w:szCs w:val="72"/>
        </w:rPr>
        <w:t>年度健康城市</w:t>
      </w:r>
    </w:p>
    <w:p>
      <w:pPr>
        <w:pStyle w:val="6"/>
        <w:spacing w:line="360" w:lineRule="auto"/>
        <w:ind w:firstLine="0" w:firstLineChars="0"/>
        <w:jc w:val="center"/>
        <w:rPr>
          <w:rFonts w:ascii="黑体" w:hAnsi="黑体" w:eastAsia="黑体"/>
          <w:b/>
          <w:sz w:val="72"/>
          <w:szCs w:val="72"/>
        </w:rPr>
      </w:pPr>
      <w:r>
        <w:rPr>
          <w:rFonts w:hint="eastAsia" w:ascii="黑体" w:hAnsi="黑体" w:eastAsia="黑体"/>
          <w:b/>
          <w:sz w:val="72"/>
          <w:szCs w:val="72"/>
        </w:rPr>
        <w:t>发展研究中心</w:t>
      </w:r>
    </w:p>
    <w:p>
      <w:pPr>
        <w:pStyle w:val="6"/>
        <w:spacing w:line="360" w:lineRule="auto"/>
        <w:ind w:firstLine="0" w:firstLineChars="0"/>
        <w:jc w:val="center"/>
        <w:rPr>
          <w:rFonts w:ascii="黑体" w:hAnsi="黑体" w:eastAsia="黑体"/>
          <w:b/>
          <w:sz w:val="144"/>
          <w:szCs w:val="84"/>
        </w:rPr>
      </w:pPr>
    </w:p>
    <w:p>
      <w:pPr>
        <w:pStyle w:val="6"/>
        <w:spacing w:line="360" w:lineRule="auto"/>
        <w:ind w:firstLine="0" w:firstLineChars="0"/>
        <w:jc w:val="center"/>
        <w:rPr>
          <w:rFonts w:ascii="黑体" w:hAnsi="黑体" w:eastAsia="黑体"/>
          <w:b/>
          <w:sz w:val="144"/>
          <w:szCs w:val="84"/>
        </w:rPr>
      </w:pPr>
    </w:p>
    <w:p>
      <w:pPr>
        <w:pStyle w:val="6"/>
        <w:spacing w:line="360" w:lineRule="auto"/>
        <w:ind w:firstLine="0" w:firstLineChars="0"/>
        <w:jc w:val="center"/>
        <w:rPr>
          <w:rFonts w:ascii="黑体" w:hAnsi="黑体" w:eastAsia="黑体"/>
          <w:b/>
          <w:sz w:val="144"/>
          <w:szCs w:val="84"/>
        </w:rPr>
      </w:pPr>
      <w:r>
        <w:rPr>
          <w:rFonts w:hint="eastAsia" w:ascii="黑体" w:hAnsi="黑体" w:eastAsia="黑体"/>
          <w:b/>
          <w:sz w:val="144"/>
          <w:szCs w:val="84"/>
        </w:rPr>
        <w:t>课题指南</w:t>
      </w:r>
    </w:p>
    <w:p>
      <w:pPr>
        <w:pStyle w:val="6"/>
        <w:spacing w:line="360" w:lineRule="auto"/>
        <w:ind w:firstLine="0" w:firstLineChars="0"/>
        <w:jc w:val="center"/>
        <w:rPr>
          <w:rFonts w:ascii="黑体" w:hAnsi="黑体" w:eastAsia="黑体"/>
          <w:b/>
          <w:sz w:val="144"/>
          <w:szCs w:val="84"/>
        </w:rPr>
      </w:pPr>
    </w:p>
    <w:p>
      <w:pPr>
        <w:pStyle w:val="6"/>
        <w:spacing w:line="360" w:lineRule="auto"/>
        <w:ind w:firstLine="0" w:firstLineChars="0"/>
        <w:jc w:val="center"/>
        <w:rPr>
          <w:rFonts w:ascii="黑体" w:hAnsi="黑体" w:eastAsia="黑体"/>
          <w:b/>
          <w:sz w:val="144"/>
          <w:szCs w:val="84"/>
        </w:rPr>
      </w:pPr>
    </w:p>
    <w:p>
      <w:pPr>
        <w:pStyle w:val="6"/>
        <w:spacing w:line="360" w:lineRule="auto"/>
        <w:ind w:firstLine="0" w:firstLineChars="0"/>
        <w:jc w:val="center"/>
        <w:rPr>
          <w:rFonts w:ascii="黑体" w:hAnsi="黑体" w:eastAsia="黑体"/>
          <w:sz w:val="36"/>
          <w:szCs w:val="30"/>
        </w:rPr>
      </w:pPr>
      <w:bookmarkStart w:id="0" w:name="_Hlk529551772"/>
      <w:r>
        <w:rPr>
          <w:rFonts w:hint="eastAsia" w:ascii="黑体" w:hAnsi="黑体" w:eastAsia="黑体"/>
          <w:sz w:val="36"/>
          <w:szCs w:val="30"/>
        </w:rPr>
        <w:t>成都市哲学社会科学规划办公室</w:t>
      </w:r>
    </w:p>
    <w:p>
      <w:pPr>
        <w:pStyle w:val="6"/>
        <w:spacing w:line="360" w:lineRule="auto"/>
        <w:ind w:firstLine="0" w:firstLineChars="0"/>
        <w:jc w:val="center"/>
        <w:rPr>
          <w:rFonts w:ascii="黑体" w:hAnsi="黑体" w:eastAsia="黑体"/>
          <w:sz w:val="36"/>
          <w:szCs w:val="30"/>
        </w:rPr>
      </w:pPr>
      <w:r>
        <w:rPr>
          <w:rFonts w:hint="eastAsia" w:ascii="黑体" w:hAnsi="黑体" w:eastAsia="黑体"/>
          <w:sz w:val="36"/>
          <w:szCs w:val="30"/>
        </w:rPr>
        <w:t>健康城市发展研究中心</w:t>
      </w:r>
    </w:p>
    <w:p>
      <w:pPr>
        <w:pStyle w:val="6"/>
        <w:spacing w:line="360" w:lineRule="auto"/>
        <w:ind w:firstLine="0" w:firstLineChars="0"/>
        <w:jc w:val="center"/>
        <w:rPr>
          <w:rFonts w:ascii="黑体" w:hAnsi="黑体" w:eastAsia="黑体"/>
          <w:sz w:val="36"/>
          <w:szCs w:val="30"/>
        </w:rPr>
      </w:pPr>
      <w:r>
        <w:rPr>
          <w:rFonts w:hint="eastAsia" w:ascii="黑体" w:hAnsi="黑体" w:eastAsia="黑体"/>
          <w:sz w:val="36"/>
          <w:szCs w:val="30"/>
        </w:rPr>
        <w:t>2</w:t>
      </w:r>
      <w:r>
        <w:rPr>
          <w:rFonts w:ascii="黑体" w:hAnsi="黑体" w:eastAsia="黑体"/>
          <w:sz w:val="36"/>
          <w:szCs w:val="30"/>
        </w:rPr>
        <w:t>0</w:t>
      </w:r>
      <w:r>
        <w:rPr>
          <w:rFonts w:hint="eastAsia" w:ascii="黑体" w:hAnsi="黑体" w:eastAsia="黑体"/>
          <w:sz w:val="36"/>
          <w:szCs w:val="30"/>
          <w:lang w:val="en-US" w:eastAsia="zh-CN"/>
        </w:rPr>
        <w:t>21</w:t>
      </w:r>
      <w:r>
        <w:rPr>
          <w:rFonts w:hint="eastAsia" w:ascii="黑体" w:hAnsi="黑体" w:eastAsia="黑体"/>
          <w:sz w:val="36"/>
          <w:szCs w:val="30"/>
        </w:rPr>
        <w:t>年</w:t>
      </w:r>
      <w:r>
        <w:rPr>
          <w:rFonts w:hint="eastAsia" w:ascii="黑体" w:hAnsi="黑体" w:eastAsia="黑体"/>
          <w:sz w:val="36"/>
          <w:szCs w:val="30"/>
          <w:lang w:val="en-US" w:eastAsia="zh-CN"/>
        </w:rPr>
        <w:t>03</w:t>
      </w:r>
      <w:r>
        <w:rPr>
          <w:rFonts w:hint="eastAsia" w:ascii="黑体" w:hAnsi="黑体" w:eastAsia="黑体"/>
          <w:sz w:val="36"/>
          <w:szCs w:val="30"/>
        </w:rPr>
        <w:t>月</w:t>
      </w:r>
    </w:p>
    <w:bookmarkEnd w:id="0"/>
    <w:p>
      <w:pPr>
        <w:widowControl/>
        <w:jc w:val="left"/>
        <w:rPr>
          <w:rFonts w:ascii="宋体" w:hAnsi="宋体" w:eastAsia="宋体"/>
          <w:b/>
          <w:sz w:val="24"/>
          <w:szCs w:val="24"/>
        </w:rPr>
      </w:pPr>
      <w:r>
        <w:rPr>
          <w:rFonts w:ascii="宋体" w:hAnsi="宋体" w:eastAsia="宋体"/>
          <w:b/>
          <w:sz w:val="24"/>
          <w:szCs w:val="24"/>
        </w:rPr>
        <w:br w:type="page"/>
      </w:r>
    </w:p>
    <w:p>
      <w:pPr>
        <w:pStyle w:val="6"/>
        <w:spacing w:line="360" w:lineRule="auto"/>
        <w:ind w:left="902" w:firstLine="0" w:firstLineChars="0"/>
        <w:jc w:val="center"/>
        <w:rPr>
          <w:rFonts w:ascii="宋体" w:hAnsi="宋体" w:eastAsia="宋体"/>
          <w:b/>
          <w:sz w:val="52"/>
          <w:szCs w:val="52"/>
        </w:rPr>
      </w:pPr>
      <w:r>
        <w:rPr>
          <w:rFonts w:hint="eastAsia" w:ascii="宋体" w:hAnsi="宋体" w:eastAsia="宋体"/>
          <w:b/>
          <w:sz w:val="52"/>
          <w:szCs w:val="52"/>
        </w:rPr>
        <w:t>说明</w:t>
      </w:r>
    </w:p>
    <w:p>
      <w:pPr>
        <w:pStyle w:val="6"/>
        <w:spacing w:line="360" w:lineRule="auto"/>
        <w:ind w:left="902" w:firstLine="0" w:firstLineChars="0"/>
        <w:jc w:val="center"/>
        <w:rPr>
          <w:rFonts w:ascii="宋体" w:hAnsi="宋体" w:eastAsia="宋体"/>
          <w:sz w:val="52"/>
          <w:szCs w:val="52"/>
        </w:rPr>
      </w:pPr>
    </w:p>
    <w:p>
      <w:pPr>
        <w:pStyle w:val="6"/>
        <w:numPr>
          <w:ilvl w:val="0"/>
          <w:numId w:val="1"/>
        </w:numPr>
        <w:adjustRightInd w:val="0"/>
        <w:snapToGrid w:val="0"/>
        <w:spacing w:line="360" w:lineRule="auto"/>
        <w:ind w:left="0" w:firstLine="562"/>
        <w:jc w:val="left"/>
        <w:rPr>
          <w:rFonts w:ascii="宋体" w:hAnsi="宋体" w:eastAsia="宋体"/>
          <w:b/>
          <w:sz w:val="28"/>
          <w:szCs w:val="28"/>
        </w:rPr>
      </w:pPr>
      <w:r>
        <w:rPr>
          <w:rFonts w:hint="eastAsia" w:ascii="宋体" w:hAnsi="宋体" w:eastAsia="宋体"/>
          <w:b/>
          <w:sz w:val="28"/>
          <w:szCs w:val="28"/>
        </w:rPr>
        <w:t>指导思想</w:t>
      </w:r>
    </w:p>
    <w:p>
      <w:pPr>
        <w:pStyle w:val="6"/>
        <w:adjustRightInd w:val="0"/>
        <w:snapToGrid w:val="0"/>
        <w:spacing w:line="360" w:lineRule="auto"/>
        <w:ind w:firstLine="560"/>
        <w:jc w:val="left"/>
        <w:rPr>
          <w:rFonts w:ascii="宋体" w:hAnsi="宋体" w:eastAsia="宋体"/>
          <w:sz w:val="28"/>
          <w:szCs w:val="28"/>
        </w:rPr>
      </w:pPr>
      <w:r>
        <w:rPr>
          <w:rFonts w:hint="eastAsia" w:ascii="宋体" w:hAnsi="宋体" w:eastAsia="宋体"/>
          <w:sz w:val="28"/>
          <w:szCs w:val="28"/>
        </w:rPr>
        <w:t>健康城市发展研究中心的成立，旨在立足于我国西部，依托四川大学华西公共卫生学院的专业平台，从健康环境、健康社会、健康服务、健康人群以及产业创新发展研究等方面全方位推动健康城市与健康村镇的相关研究，协助各地区构建健康城市与健康村镇，并搭建国际化交流平台，不断完善国民健康政策，建设好健康城市、健康村镇、健康细胞，构建好健康中国的微观基础，进一步实现经济社会的可持续发展。</w:t>
      </w:r>
    </w:p>
    <w:p>
      <w:pPr>
        <w:pStyle w:val="6"/>
        <w:numPr>
          <w:ilvl w:val="0"/>
          <w:numId w:val="1"/>
        </w:numPr>
        <w:adjustRightInd w:val="0"/>
        <w:snapToGrid w:val="0"/>
        <w:spacing w:line="360" w:lineRule="auto"/>
        <w:ind w:left="0" w:firstLine="562"/>
        <w:jc w:val="left"/>
        <w:rPr>
          <w:rFonts w:ascii="宋体" w:hAnsi="宋体" w:eastAsia="宋体"/>
          <w:b/>
          <w:sz w:val="28"/>
          <w:szCs w:val="28"/>
        </w:rPr>
      </w:pPr>
      <w:r>
        <w:rPr>
          <w:rFonts w:hint="eastAsia" w:ascii="宋体" w:hAnsi="宋体" w:eastAsia="宋体"/>
          <w:b/>
          <w:sz w:val="28"/>
          <w:szCs w:val="28"/>
        </w:rPr>
        <w:t>课题经费</w:t>
      </w:r>
    </w:p>
    <w:p>
      <w:pPr>
        <w:pStyle w:val="6"/>
        <w:adjustRightInd w:val="0"/>
        <w:snapToGrid w:val="0"/>
        <w:spacing w:line="360" w:lineRule="auto"/>
        <w:ind w:firstLine="560"/>
        <w:jc w:val="left"/>
        <w:rPr>
          <w:rFonts w:ascii="宋体" w:hAnsi="宋体" w:eastAsia="宋体"/>
          <w:sz w:val="28"/>
          <w:szCs w:val="28"/>
        </w:rPr>
      </w:pPr>
      <w:r>
        <w:rPr>
          <w:rFonts w:hint="eastAsia" w:ascii="宋体" w:hAnsi="宋体" w:eastAsia="宋体"/>
          <w:sz w:val="28"/>
          <w:szCs w:val="28"/>
        </w:rPr>
        <w:t>遵循公平竞争、择优立项的原则，本年度拟资助</w:t>
      </w:r>
      <w:r>
        <w:rPr>
          <w:rFonts w:ascii="宋体" w:hAnsi="宋体" w:eastAsia="宋体"/>
          <w:sz w:val="28"/>
          <w:szCs w:val="28"/>
        </w:rPr>
        <w:t>9</w:t>
      </w:r>
      <w:r>
        <w:rPr>
          <w:rFonts w:hint="eastAsia" w:ascii="宋体" w:hAnsi="宋体" w:eastAsia="宋体"/>
          <w:sz w:val="28"/>
          <w:szCs w:val="28"/>
        </w:rPr>
        <w:t>个项目，其中资助项目3项，每项资助经费0</w:t>
      </w:r>
      <w:r>
        <w:rPr>
          <w:rFonts w:ascii="宋体" w:hAnsi="宋体" w:eastAsia="宋体"/>
          <w:sz w:val="28"/>
          <w:szCs w:val="28"/>
        </w:rPr>
        <w:t>.5</w:t>
      </w:r>
      <w:r>
        <w:rPr>
          <w:rFonts w:hint="eastAsia" w:ascii="宋体" w:hAnsi="宋体" w:eastAsia="宋体"/>
          <w:sz w:val="28"/>
          <w:szCs w:val="28"/>
        </w:rPr>
        <w:t>万元；自筹项目6项。</w:t>
      </w:r>
    </w:p>
    <w:p>
      <w:pPr>
        <w:pStyle w:val="6"/>
        <w:adjustRightInd w:val="0"/>
        <w:snapToGrid w:val="0"/>
        <w:spacing w:line="360" w:lineRule="auto"/>
        <w:ind w:firstLine="560"/>
        <w:jc w:val="left"/>
        <w:rPr>
          <w:rFonts w:ascii="宋体" w:hAnsi="宋体" w:eastAsia="宋体"/>
          <w:sz w:val="28"/>
          <w:szCs w:val="28"/>
        </w:rPr>
      </w:pPr>
      <w:r>
        <w:rPr>
          <w:rFonts w:hint="eastAsia" w:ascii="宋体" w:hAnsi="宋体" w:eastAsia="宋体"/>
          <w:sz w:val="28"/>
          <w:szCs w:val="28"/>
        </w:rPr>
        <w:t>最终成果形式为论文、对策建议、专著、政府报告。</w:t>
      </w:r>
    </w:p>
    <w:p>
      <w:pPr>
        <w:pStyle w:val="6"/>
        <w:numPr>
          <w:ilvl w:val="0"/>
          <w:numId w:val="1"/>
        </w:numPr>
        <w:adjustRightInd w:val="0"/>
        <w:snapToGrid w:val="0"/>
        <w:spacing w:line="360" w:lineRule="auto"/>
        <w:ind w:left="0" w:firstLine="562"/>
        <w:jc w:val="left"/>
        <w:rPr>
          <w:rFonts w:ascii="宋体" w:hAnsi="宋体" w:eastAsia="宋体"/>
          <w:b/>
          <w:sz w:val="28"/>
          <w:szCs w:val="28"/>
        </w:rPr>
      </w:pPr>
      <w:r>
        <w:rPr>
          <w:rFonts w:hint="eastAsia" w:ascii="宋体" w:hAnsi="宋体" w:eastAsia="宋体"/>
          <w:b/>
          <w:sz w:val="28"/>
          <w:szCs w:val="28"/>
        </w:rPr>
        <w:t>课题范围</w:t>
      </w:r>
    </w:p>
    <w:p>
      <w:pPr>
        <w:pStyle w:val="6"/>
        <w:adjustRightInd w:val="0"/>
        <w:snapToGrid w:val="0"/>
        <w:spacing w:line="360" w:lineRule="auto"/>
        <w:ind w:firstLine="560"/>
        <w:jc w:val="left"/>
        <w:rPr>
          <w:rFonts w:ascii="宋体" w:hAnsi="宋体" w:eastAsia="宋体"/>
          <w:sz w:val="28"/>
          <w:szCs w:val="28"/>
        </w:rPr>
      </w:pPr>
      <w:r>
        <w:rPr>
          <w:rFonts w:hint="eastAsia" w:ascii="宋体" w:hAnsi="宋体" w:eastAsia="宋体"/>
          <w:sz w:val="28"/>
          <w:szCs w:val="28"/>
        </w:rPr>
        <w:t>资助课题应基于项目研究指南进行选题；自筹项目可不局限于项目研究指南所列举的研究方向，但应与中心指导思想相一致。</w:t>
      </w:r>
    </w:p>
    <w:p>
      <w:pPr>
        <w:pStyle w:val="6"/>
        <w:numPr>
          <w:ilvl w:val="0"/>
          <w:numId w:val="1"/>
        </w:numPr>
        <w:adjustRightInd w:val="0"/>
        <w:snapToGrid w:val="0"/>
        <w:spacing w:line="360" w:lineRule="auto"/>
        <w:ind w:left="0" w:firstLine="562"/>
        <w:jc w:val="left"/>
        <w:rPr>
          <w:rFonts w:ascii="宋体" w:hAnsi="宋体" w:eastAsia="宋体"/>
          <w:b/>
          <w:sz w:val="28"/>
          <w:szCs w:val="28"/>
        </w:rPr>
      </w:pPr>
      <w:r>
        <w:rPr>
          <w:rFonts w:hint="eastAsia" w:ascii="宋体" w:hAnsi="宋体" w:eastAsia="宋体"/>
          <w:b/>
          <w:sz w:val="28"/>
          <w:szCs w:val="28"/>
        </w:rPr>
        <w:t>申报对象</w:t>
      </w:r>
    </w:p>
    <w:p>
      <w:pPr>
        <w:pStyle w:val="6"/>
        <w:adjustRightInd w:val="0"/>
        <w:snapToGrid w:val="0"/>
        <w:spacing w:line="360" w:lineRule="auto"/>
        <w:ind w:firstLine="560"/>
        <w:jc w:val="left"/>
        <w:rPr>
          <w:rFonts w:ascii="宋体" w:hAnsi="宋体" w:eastAsia="宋体"/>
          <w:sz w:val="28"/>
          <w:szCs w:val="28"/>
        </w:rPr>
      </w:pPr>
      <w:r>
        <w:rPr>
          <w:rFonts w:hint="eastAsia" w:ascii="宋体" w:hAnsi="宋体" w:eastAsia="宋体"/>
          <w:sz w:val="28"/>
          <w:szCs w:val="28"/>
        </w:rPr>
        <w:t>本次申报面向各高校、科研院所和机关企事业单位人员。申报者所在单位应对申请人能否胜任研究工作在申报表上签署明确意见。</w:t>
      </w:r>
    </w:p>
    <w:p>
      <w:pPr>
        <w:pStyle w:val="6"/>
        <w:numPr>
          <w:ilvl w:val="0"/>
          <w:numId w:val="1"/>
        </w:numPr>
        <w:adjustRightInd w:val="0"/>
        <w:snapToGrid w:val="0"/>
        <w:spacing w:line="360" w:lineRule="auto"/>
        <w:ind w:left="0" w:firstLine="562"/>
        <w:jc w:val="left"/>
        <w:rPr>
          <w:rFonts w:ascii="宋体" w:hAnsi="宋体" w:eastAsia="宋体"/>
          <w:b/>
          <w:sz w:val="28"/>
          <w:szCs w:val="28"/>
        </w:rPr>
      </w:pPr>
      <w:r>
        <w:rPr>
          <w:rFonts w:hint="eastAsia" w:ascii="宋体" w:hAnsi="宋体" w:eastAsia="宋体"/>
          <w:b/>
          <w:sz w:val="28"/>
          <w:szCs w:val="28"/>
        </w:rPr>
        <w:t>项目成果管理</w:t>
      </w:r>
    </w:p>
    <w:p>
      <w:pPr>
        <w:pStyle w:val="6"/>
        <w:numPr>
          <w:ilvl w:val="0"/>
          <w:numId w:val="2"/>
        </w:numPr>
        <w:adjustRightInd w:val="0"/>
        <w:snapToGrid w:val="0"/>
        <w:spacing w:line="360" w:lineRule="auto"/>
        <w:ind w:left="0" w:firstLine="560"/>
        <w:jc w:val="left"/>
        <w:rPr>
          <w:rFonts w:ascii="宋体" w:hAnsi="宋体" w:eastAsia="宋体"/>
          <w:color w:val="FF0000"/>
          <w:sz w:val="28"/>
          <w:szCs w:val="28"/>
        </w:rPr>
      </w:pPr>
      <w:r>
        <w:rPr>
          <w:rFonts w:hint="eastAsia" w:ascii="宋体" w:hAnsi="宋体" w:eastAsia="宋体"/>
          <w:sz w:val="28"/>
          <w:szCs w:val="28"/>
        </w:rPr>
        <w:t>获准立项的《申请书》作为具有约束力的资助合同文本。课题负责人在项目研究期间要遵守相关承诺，履行约定义务，按期完成研究任务。</w:t>
      </w:r>
    </w:p>
    <w:p>
      <w:pPr>
        <w:pStyle w:val="6"/>
        <w:numPr>
          <w:ilvl w:val="0"/>
          <w:numId w:val="2"/>
        </w:numPr>
        <w:adjustRightInd w:val="0"/>
        <w:snapToGrid w:val="0"/>
        <w:spacing w:line="360" w:lineRule="auto"/>
        <w:ind w:left="0" w:firstLine="560"/>
        <w:jc w:val="left"/>
        <w:rPr>
          <w:rFonts w:ascii="宋体" w:hAnsi="宋体" w:eastAsia="宋体"/>
          <w:sz w:val="28"/>
          <w:szCs w:val="28"/>
        </w:rPr>
      </w:pPr>
      <w:r>
        <w:rPr>
          <w:rFonts w:hint="eastAsia" w:ascii="宋体" w:hAnsi="宋体" w:eastAsia="宋体"/>
          <w:sz w:val="28"/>
          <w:szCs w:val="28"/>
        </w:rPr>
        <w:t>资助项目，请负责人在收到书面立项通知后，认真如实填写回执单（金额为该项目首付款80%），并按国家相关规定提供相关票据（驻蓉高校提供发票或往来票据，市属高校及机关无需提供票据），及时将上述资料一并反馈我办。自筹项目无须填写回执单和提供相关票据。</w:t>
      </w:r>
    </w:p>
    <w:p>
      <w:pPr>
        <w:pStyle w:val="6"/>
        <w:numPr>
          <w:ilvl w:val="0"/>
          <w:numId w:val="2"/>
        </w:numPr>
        <w:adjustRightInd w:val="0"/>
        <w:snapToGrid w:val="0"/>
        <w:spacing w:line="360" w:lineRule="auto"/>
        <w:ind w:left="0" w:firstLine="560"/>
        <w:jc w:val="left"/>
        <w:rPr>
          <w:rFonts w:ascii="宋体" w:hAnsi="宋体" w:eastAsia="宋体"/>
          <w:sz w:val="28"/>
          <w:szCs w:val="28"/>
        </w:rPr>
      </w:pPr>
      <w:r>
        <w:rPr>
          <w:rFonts w:hint="eastAsia" w:ascii="宋体" w:hAnsi="宋体" w:eastAsia="宋体"/>
          <w:sz w:val="28"/>
          <w:szCs w:val="28"/>
        </w:rPr>
        <w:t>获准立项的资助项目与自筹项目，均需签订项目协议，在结题期限内提交符合要求的结题报告。资助项目除提供结题报告外，还需携带单位签章的回执单、相关发票或票据（金额为该项目余款）办理项目尾款（20%）。</w:t>
      </w:r>
    </w:p>
    <w:p>
      <w:pPr>
        <w:pStyle w:val="6"/>
        <w:numPr>
          <w:ilvl w:val="0"/>
          <w:numId w:val="2"/>
        </w:numPr>
        <w:adjustRightInd w:val="0"/>
        <w:snapToGrid w:val="0"/>
        <w:spacing w:line="360" w:lineRule="auto"/>
        <w:ind w:left="0" w:firstLine="56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结题成果为论文、对策建议、专著、政府报告，结题时限为一年半，鼓励一年之内完成。其中论文必须被核心期刊及以上的期刊收录，以正式见刊为结项标准；专著必须公开出版；对策建议和政府报告以对应政府部门领导批示为结项标准。</w:t>
      </w:r>
    </w:p>
    <w:p>
      <w:pPr>
        <w:pStyle w:val="6"/>
        <w:numPr>
          <w:ilvl w:val="0"/>
          <w:numId w:val="2"/>
        </w:numPr>
        <w:adjustRightInd w:val="0"/>
        <w:snapToGrid w:val="0"/>
        <w:spacing w:line="360" w:lineRule="auto"/>
        <w:ind w:left="0" w:firstLine="56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结题成果出版、发表或向有关单位报送时，必须在相应位置注明“成都市哲学社会科学重点研究基地资助”、“健康城市发展研究中心资助”、“项目编号XXX”字样。</w:t>
      </w:r>
      <w:bookmarkStart w:id="1" w:name="_GoBack"/>
      <w:bookmarkEnd w:id="1"/>
    </w:p>
    <w:p>
      <w:pPr>
        <w:pStyle w:val="6"/>
        <w:numPr>
          <w:ilvl w:val="0"/>
          <w:numId w:val="1"/>
        </w:numPr>
        <w:adjustRightInd w:val="0"/>
        <w:snapToGrid w:val="0"/>
        <w:spacing w:line="360" w:lineRule="auto"/>
        <w:ind w:left="0" w:firstLine="562"/>
        <w:jc w:val="left"/>
        <w:rPr>
          <w:rFonts w:ascii="宋体" w:hAnsi="宋体" w:eastAsia="宋体"/>
          <w:b/>
          <w:sz w:val="28"/>
          <w:szCs w:val="28"/>
        </w:rPr>
      </w:pPr>
      <w:r>
        <w:rPr>
          <w:rFonts w:hint="eastAsia" w:ascii="宋体" w:hAnsi="宋体" w:eastAsia="宋体"/>
          <w:b/>
          <w:sz w:val="28"/>
          <w:szCs w:val="28"/>
        </w:rPr>
        <w:t>本基地课题管理按照《成都市哲学社会科学规划项目管理办法（修订）》执行</w:t>
      </w:r>
    </w:p>
    <w:p>
      <w:pPr>
        <w:pStyle w:val="6"/>
        <w:numPr>
          <w:ilvl w:val="0"/>
          <w:numId w:val="1"/>
        </w:numPr>
        <w:adjustRightInd w:val="0"/>
        <w:snapToGrid w:val="0"/>
        <w:spacing w:line="360" w:lineRule="auto"/>
        <w:ind w:left="0" w:firstLine="562"/>
        <w:jc w:val="left"/>
        <w:rPr>
          <w:rFonts w:ascii="宋体" w:hAnsi="宋体" w:eastAsia="宋体"/>
          <w:b/>
          <w:sz w:val="28"/>
          <w:szCs w:val="28"/>
        </w:rPr>
      </w:pPr>
      <w:r>
        <w:rPr>
          <w:rFonts w:hint="eastAsia" w:ascii="宋体" w:hAnsi="宋体" w:eastAsia="宋体"/>
          <w:b/>
          <w:sz w:val="28"/>
          <w:szCs w:val="28"/>
          <w:lang w:val="en-US" w:eastAsia="zh-CN"/>
        </w:rPr>
        <w:t>项目结题通过后，将提供结题证明</w:t>
      </w:r>
    </w:p>
    <w:p>
      <w:pPr>
        <w:adjustRightInd w:val="0"/>
        <w:snapToGrid w:val="0"/>
        <w:spacing w:line="360" w:lineRule="auto"/>
        <w:jc w:val="left"/>
        <w:rPr>
          <w:rFonts w:ascii="宋体" w:hAnsi="宋体" w:eastAsia="宋体"/>
          <w:sz w:val="28"/>
          <w:szCs w:val="28"/>
        </w:rPr>
      </w:pPr>
    </w:p>
    <w:p>
      <w:pPr>
        <w:pStyle w:val="6"/>
        <w:adjustRightInd w:val="0"/>
        <w:snapToGrid w:val="0"/>
        <w:spacing w:line="360" w:lineRule="auto"/>
        <w:ind w:firstLine="560"/>
        <w:jc w:val="right"/>
        <w:rPr>
          <w:rFonts w:ascii="宋体" w:hAnsi="宋体" w:eastAsia="宋体"/>
          <w:sz w:val="28"/>
          <w:szCs w:val="28"/>
        </w:rPr>
      </w:pPr>
      <w:r>
        <w:rPr>
          <w:rFonts w:hint="eastAsia" w:ascii="宋体" w:hAnsi="宋体" w:eastAsia="宋体"/>
          <w:sz w:val="28"/>
          <w:szCs w:val="28"/>
        </w:rPr>
        <w:t>成都市哲学社会科学规划办公室</w:t>
      </w:r>
    </w:p>
    <w:p>
      <w:pPr>
        <w:pStyle w:val="6"/>
        <w:adjustRightInd w:val="0"/>
        <w:snapToGrid w:val="0"/>
        <w:spacing w:line="360" w:lineRule="auto"/>
        <w:ind w:firstLine="560"/>
        <w:jc w:val="right"/>
        <w:rPr>
          <w:rFonts w:ascii="宋体" w:hAnsi="宋体" w:eastAsia="宋体"/>
          <w:sz w:val="28"/>
          <w:szCs w:val="28"/>
        </w:rPr>
      </w:pPr>
      <w:r>
        <w:rPr>
          <w:rFonts w:hint="eastAsia" w:ascii="宋体" w:hAnsi="宋体" w:eastAsia="宋体"/>
          <w:sz w:val="28"/>
          <w:szCs w:val="28"/>
        </w:rPr>
        <w:t>健康城市发展研究中心</w:t>
      </w:r>
    </w:p>
    <w:p>
      <w:pPr>
        <w:pStyle w:val="6"/>
        <w:adjustRightInd w:val="0"/>
        <w:snapToGrid w:val="0"/>
        <w:spacing w:line="360" w:lineRule="auto"/>
        <w:ind w:firstLine="560"/>
        <w:jc w:val="right"/>
        <w:rPr>
          <w:rFonts w:ascii="宋体" w:hAnsi="宋体" w:eastAsia="宋体"/>
          <w:sz w:val="28"/>
          <w:szCs w:val="28"/>
        </w:rPr>
      </w:pPr>
      <w:r>
        <w:rPr>
          <w:rFonts w:ascii="宋体" w:hAnsi="宋体" w:eastAsia="宋体"/>
          <w:sz w:val="28"/>
          <w:szCs w:val="28"/>
        </w:rPr>
        <w:t>20</w:t>
      </w:r>
      <w:r>
        <w:rPr>
          <w:rFonts w:hint="eastAsia" w:ascii="宋体" w:hAnsi="宋体" w:eastAsia="宋体"/>
          <w:sz w:val="28"/>
          <w:szCs w:val="28"/>
          <w:lang w:val="en-US" w:eastAsia="zh-CN"/>
        </w:rPr>
        <w:t>21</w:t>
      </w:r>
      <w:r>
        <w:rPr>
          <w:rFonts w:ascii="宋体" w:hAnsi="宋体" w:eastAsia="宋体"/>
          <w:sz w:val="28"/>
          <w:szCs w:val="28"/>
        </w:rPr>
        <w:t>年</w:t>
      </w:r>
      <w:r>
        <w:rPr>
          <w:rFonts w:hint="eastAsia" w:ascii="宋体" w:hAnsi="宋体" w:eastAsia="宋体"/>
          <w:sz w:val="28"/>
          <w:szCs w:val="28"/>
          <w:lang w:val="en-US" w:eastAsia="zh-CN"/>
        </w:rPr>
        <w:t>3</w:t>
      </w:r>
      <w:r>
        <w:rPr>
          <w:rFonts w:ascii="宋体" w:hAnsi="宋体" w:eastAsia="宋体"/>
          <w:sz w:val="28"/>
          <w:szCs w:val="28"/>
        </w:rPr>
        <w:t>月</w:t>
      </w:r>
      <w:r>
        <w:rPr>
          <w:rFonts w:hint="eastAsia" w:ascii="宋体" w:hAnsi="宋体" w:eastAsia="宋体"/>
          <w:sz w:val="28"/>
          <w:szCs w:val="28"/>
          <w:lang w:val="en-US" w:eastAsia="zh-CN"/>
        </w:rPr>
        <w:t>1</w:t>
      </w:r>
      <w:r>
        <w:rPr>
          <w:rFonts w:hint="eastAsia" w:ascii="宋体" w:hAnsi="宋体" w:eastAsia="宋体"/>
          <w:sz w:val="28"/>
          <w:szCs w:val="28"/>
        </w:rPr>
        <w:t>日</w:t>
      </w:r>
    </w:p>
    <w:p>
      <w:pPr>
        <w:widowControl/>
        <w:jc w:val="left"/>
        <w:rPr>
          <w:rFonts w:ascii="宋体" w:hAnsi="宋体" w:eastAsia="宋体"/>
          <w:b/>
          <w:sz w:val="24"/>
          <w:szCs w:val="24"/>
        </w:rPr>
      </w:pPr>
      <w:r>
        <w:rPr>
          <w:rFonts w:ascii="宋体" w:hAnsi="宋体" w:eastAsia="宋体"/>
          <w:b/>
          <w:sz w:val="24"/>
          <w:szCs w:val="24"/>
        </w:rPr>
        <w:br w:type="page"/>
      </w:r>
    </w:p>
    <w:p>
      <w:pPr>
        <w:pStyle w:val="6"/>
        <w:spacing w:line="360" w:lineRule="auto"/>
        <w:ind w:left="902" w:firstLine="0" w:firstLineChars="0"/>
        <w:jc w:val="center"/>
        <w:rPr>
          <w:rFonts w:ascii="宋体" w:hAnsi="宋体" w:eastAsia="宋体"/>
          <w:sz w:val="52"/>
          <w:szCs w:val="52"/>
        </w:rPr>
      </w:pPr>
      <w:r>
        <w:rPr>
          <w:rFonts w:hint="eastAsia" w:ascii="宋体" w:hAnsi="宋体" w:eastAsia="宋体"/>
          <w:sz w:val="52"/>
          <w:szCs w:val="52"/>
        </w:rPr>
        <w:t>项目研究指南</w:t>
      </w:r>
    </w:p>
    <w:p>
      <w:pPr>
        <w:pStyle w:val="6"/>
        <w:adjustRightInd w:val="0"/>
        <w:snapToGrid w:val="0"/>
        <w:spacing w:line="360" w:lineRule="auto"/>
        <w:ind w:firstLine="1040"/>
        <w:jc w:val="left"/>
        <w:rPr>
          <w:rFonts w:ascii="宋体" w:hAnsi="宋体" w:eastAsia="宋体"/>
          <w:color w:val="FF0000"/>
          <w:sz w:val="52"/>
          <w:szCs w:val="52"/>
        </w:rPr>
      </w:pPr>
    </w:p>
    <w:p>
      <w:pPr>
        <w:pStyle w:val="6"/>
        <w:adjustRightInd w:val="0"/>
        <w:snapToGrid w:val="0"/>
        <w:spacing w:line="360" w:lineRule="auto"/>
        <w:ind w:firstLine="560"/>
        <w:jc w:val="left"/>
        <w:rPr>
          <w:rFonts w:ascii="宋体" w:hAnsi="宋体" w:eastAsia="宋体"/>
          <w:sz w:val="28"/>
          <w:szCs w:val="28"/>
        </w:rPr>
      </w:pPr>
      <w:r>
        <w:rPr>
          <w:rFonts w:hint="eastAsia" w:ascii="宋体" w:hAnsi="宋体" w:eastAsia="宋体"/>
          <w:sz w:val="28"/>
          <w:szCs w:val="28"/>
        </w:rPr>
        <w:t>以成都市为重点研究对象，探讨立足成都、辐射全省的健康城市理论与实践研究，研究方向可以参考但不限于如下内容。</w:t>
      </w:r>
    </w:p>
    <w:p>
      <w:pPr>
        <w:adjustRightInd w:val="0"/>
        <w:snapToGrid w:val="0"/>
        <w:spacing w:line="360" w:lineRule="auto"/>
        <w:jc w:val="left"/>
        <w:rPr>
          <w:rFonts w:ascii="宋体" w:hAnsi="宋体" w:eastAsia="宋体"/>
          <w:sz w:val="28"/>
          <w:szCs w:val="28"/>
        </w:rPr>
      </w:pPr>
    </w:p>
    <w:p>
      <w:pPr>
        <w:pStyle w:val="6"/>
        <w:numPr>
          <w:ilvl w:val="0"/>
          <w:numId w:val="3"/>
        </w:numPr>
        <w:adjustRightInd w:val="0"/>
        <w:snapToGrid w:val="0"/>
        <w:spacing w:line="360" w:lineRule="auto"/>
        <w:ind w:firstLineChars="0"/>
        <w:jc w:val="left"/>
        <w:rPr>
          <w:rFonts w:ascii="宋体" w:hAnsi="宋体" w:eastAsia="宋体"/>
          <w:sz w:val="28"/>
          <w:szCs w:val="28"/>
        </w:rPr>
      </w:pPr>
      <w:r>
        <w:rPr>
          <w:rFonts w:hint="eastAsia" w:ascii="宋体" w:hAnsi="宋体" w:eastAsia="宋体"/>
          <w:sz w:val="28"/>
          <w:szCs w:val="28"/>
        </w:rPr>
        <w:t>居民就医偏好及影响因素研究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hint="eastAsia" w:ascii="宋体" w:hAnsi="宋体" w:eastAsia="宋体"/>
          <w:sz w:val="28"/>
          <w:szCs w:val="28"/>
        </w:rPr>
        <w:t>城市绿地的健康效应研究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hint="eastAsia" w:ascii="宋体" w:hAnsi="宋体" w:eastAsia="宋体"/>
          <w:sz w:val="28"/>
          <w:szCs w:val="28"/>
        </w:rPr>
        <w:t>产科服务质量与效率研究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城市医联体实施效果评估研究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hint="eastAsia" w:ascii="宋体" w:hAnsi="宋体" w:eastAsia="宋体"/>
          <w:sz w:val="28"/>
          <w:szCs w:val="28"/>
        </w:rPr>
        <w:t>城市与人群健康研究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互联网+健康城市建设</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健康城市理论及政策研究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健康城市评价指标体系研究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健康城市实践探索研究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健康城市发展模式前景研究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hint="eastAsia" w:ascii="宋体" w:hAnsi="宋体" w:eastAsia="宋体"/>
          <w:sz w:val="28"/>
          <w:szCs w:val="28"/>
        </w:rPr>
        <w:t>健康产业发展研究</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健康管理</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分级诊疗</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医养结合</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医疗健康大数据与医疗信息化标准</w:t>
      </w:r>
    </w:p>
    <w:p>
      <w:pPr>
        <w:pStyle w:val="6"/>
        <w:numPr>
          <w:ilvl w:val="0"/>
          <w:numId w:val="3"/>
        </w:numPr>
        <w:adjustRightInd w:val="0"/>
        <w:snapToGrid w:val="0"/>
        <w:spacing w:line="360" w:lineRule="auto"/>
        <w:ind w:firstLineChars="0"/>
        <w:jc w:val="left"/>
        <w:rPr>
          <w:rFonts w:ascii="宋体" w:hAnsi="宋体" w:eastAsia="宋体"/>
          <w:sz w:val="28"/>
          <w:szCs w:val="28"/>
        </w:rPr>
      </w:pPr>
      <w:r>
        <w:rPr>
          <w:rFonts w:ascii="宋体" w:hAnsi="宋体" w:eastAsia="宋体"/>
          <w:sz w:val="28"/>
          <w:szCs w:val="28"/>
        </w:rPr>
        <w:t>医疗健康风险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A56561-5196-4A88-B969-31694E91BE6B}"/>
  </w:font>
  <w:font w:name="Arial">
    <w:panose1 w:val="020B0604020202020204"/>
    <w:charset w:val="01"/>
    <w:family w:val="swiss"/>
    <w:pitch w:val="default"/>
    <w:sig w:usb0="E0002EFF" w:usb1="C000785B" w:usb2="00000009" w:usb3="00000000" w:csb0="400001FF" w:csb1="FFFF0000"/>
    <w:embedRegular r:id="rId2" w:fontKey="{D1C25A4F-D9EE-43FD-8B70-60FCBB7EFBE8}"/>
  </w:font>
  <w:font w:name="黑体">
    <w:panose1 w:val="02010609060101010101"/>
    <w:charset w:val="86"/>
    <w:family w:val="auto"/>
    <w:pitch w:val="default"/>
    <w:sig w:usb0="800002BF" w:usb1="38CF7CFA" w:usb2="00000016" w:usb3="00000000" w:csb0="00040001" w:csb1="00000000"/>
    <w:embedRegular r:id="rId3" w:fontKey="{7916AB5D-AF5C-4C4E-8E88-9B2718996388}"/>
  </w:font>
  <w:font w:name="Courier New">
    <w:panose1 w:val="02070309020205020404"/>
    <w:charset w:val="01"/>
    <w:family w:val="modern"/>
    <w:pitch w:val="default"/>
    <w:sig w:usb0="E0002EFF" w:usb1="C0007843" w:usb2="00000009" w:usb3="00000000" w:csb0="400001FF" w:csb1="FFFF0000"/>
    <w:embedRegular r:id="rId4" w:fontKey="{93D6A18D-2E59-478C-A683-70FB7223CD5F}"/>
  </w:font>
  <w:font w:name="Symbol">
    <w:panose1 w:val="05050102010706020507"/>
    <w:charset w:val="02"/>
    <w:family w:val="roman"/>
    <w:pitch w:val="default"/>
    <w:sig w:usb0="00000000" w:usb1="00000000" w:usb2="00000000" w:usb3="00000000" w:csb0="80000000" w:csb1="00000000"/>
    <w:embedRegular r:id="rId5" w:fontKey="{3D9920FE-49DC-4FEC-A6A7-3CF72ABC01A7}"/>
  </w:font>
  <w:font w:name="Calibri">
    <w:panose1 w:val="020F0502020204030204"/>
    <w:charset w:val="00"/>
    <w:family w:val="swiss"/>
    <w:pitch w:val="default"/>
    <w:sig w:usb0="E4002EFF" w:usb1="C000247B" w:usb2="00000009" w:usb3="00000000" w:csb0="200001FF" w:csb1="00000000"/>
    <w:embedRegular r:id="rId6" w:fontKey="{E1C1AB60-6737-489E-B420-A3C7ABB4BC7B}"/>
  </w:font>
  <w:font w:name="方正仿宋_GBK">
    <w:panose1 w:val="02000000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2000000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1FEAAF74-7E86-4196-85C2-D6F8DFA9650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B4D74"/>
    <w:multiLevelType w:val="multilevel"/>
    <w:tmpl w:val="1F8B4D74"/>
    <w:lvl w:ilvl="0" w:tentative="0">
      <w:start w:val="1"/>
      <w:numFmt w:val="decimal"/>
      <w:lvlText w:val="%1."/>
      <w:lvlJc w:val="left"/>
      <w:pPr>
        <w:ind w:left="1982" w:hanging="360"/>
      </w:pPr>
      <w:rPr>
        <w:rFonts w:hint="default"/>
        <w:color w:val="auto"/>
      </w:rPr>
    </w:lvl>
    <w:lvl w:ilvl="1" w:tentative="0">
      <w:start w:val="1"/>
      <w:numFmt w:val="lowerLetter"/>
      <w:lvlText w:val="%2)"/>
      <w:lvlJc w:val="left"/>
      <w:pPr>
        <w:ind w:left="2462" w:hanging="420"/>
      </w:pPr>
    </w:lvl>
    <w:lvl w:ilvl="2" w:tentative="0">
      <w:start w:val="1"/>
      <w:numFmt w:val="lowerRoman"/>
      <w:lvlText w:val="%3."/>
      <w:lvlJc w:val="right"/>
      <w:pPr>
        <w:ind w:left="2882" w:hanging="420"/>
      </w:pPr>
    </w:lvl>
    <w:lvl w:ilvl="3" w:tentative="0">
      <w:start w:val="1"/>
      <w:numFmt w:val="decimal"/>
      <w:lvlText w:val="%4."/>
      <w:lvlJc w:val="left"/>
      <w:pPr>
        <w:ind w:left="3302" w:hanging="420"/>
      </w:pPr>
    </w:lvl>
    <w:lvl w:ilvl="4" w:tentative="0">
      <w:start w:val="1"/>
      <w:numFmt w:val="lowerLetter"/>
      <w:lvlText w:val="%5)"/>
      <w:lvlJc w:val="left"/>
      <w:pPr>
        <w:ind w:left="3722" w:hanging="420"/>
      </w:pPr>
    </w:lvl>
    <w:lvl w:ilvl="5" w:tentative="0">
      <w:start w:val="1"/>
      <w:numFmt w:val="lowerRoman"/>
      <w:lvlText w:val="%6."/>
      <w:lvlJc w:val="right"/>
      <w:pPr>
        <w:ind w:left="4142" w:hanging="420"/>
      </w:pPr>
    </w:lvl>
    <w:lvl w:ilvl="6" w:tentative="0">
      <w:start w:val="1"/>
      <w:numFmt w:val="decimal"/>
      <w:lvlText w:val="%7."/>
      <w:lvlJc w:val="left"/>
      <w:pPr>
        <w:ind w:left="4562" w:hanging="420"/>
      </w:pPr>
    </w:lvl>
    <w:lvl w:ilvl="7" w:tentative="0">
      <w:start w:val="1"/>
      <w:numFmt w:val="lowerLetter"/>
      <w:lvlText w:val="%8)"/>
      <w:lvlJc w:val="left"/>
      <w:pPr>
        <w:ind w:left="4982" w:hanging="420"/>
      </w:pPr>
    </w:lvl>
    <w:lvl w:ilvl="8" w:tentative="0">
      <w:start w:val="1"/>
      <w:numFmt w:val="lowerRoman"/>
      <w:lvlText w:val="%9."/>
      <w:lvlJc w:val="right"/>
      <w:pPr>
        <w:ind w:left="5402" w:hanging="420"/>
      </w:pPr>
    </w:lvl>
  </w:abstractNum>
  <w:abstractNum w:abstractNumId="1">
    <w:nsid w:val="41191ACF"/>
    <w:multiLevelType w:val="multilevel"/>
    <w:tmpl w:val="41191AC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36E7BCC"/>
    <w:multiLevelType w:val="multilevel"/>
    <w:tmpl w:val="536E7BCC"/>
    <w:lvl w:ilvl="0" w:tentative="0">
      <w:start w:val="1"/>
      <w:numFmt w:val="japaneseCounting"/>
      <w:lvlText w:val="%1、"/>
      <w:lvlJc w:val="left"/>
      <w:pPr>
        <w:ind w:left="1622" w:hanging="720"/>
      </w:pPr>
      <w:rPr>
        <w:rFonts w:hint="default"/>
      </w:r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D12"/>
    <w:rsid w:val="002C2B6F"/>
    <w:rsid w:val="003E36F6"/>
    <w:rsid w:val="0088686C"/>
    <w:rsid w:val="008D592F"/>
    <w:rsid w:val="00924D12"/>
    <w:rsid w:val="009F6802"/>
    <w:rsid w:val="00AA7F01"/>
    <w:rsid w:val="00AF04DA"/>
    <w:rsid w:val="00B0674A"/>
    <w:rsid w:val="0194199F"/>
    <w:rsid w:val="27B4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187</Words>
  <Characters>1072</Characters>
  <Lines>8</Lines>
  <Paragraphs>2</Paragraphs>
  <TotalTime>26</TotalTime>
  <ScaleCrop>false</ScaleCrop>
  <LinksUpToDate>false</LinksUpToDate>
  <CharactersWithSpaces>1257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2019-11-29T02:07:00Z</dcterms:created>
  <dc:creator>WANG Xiuli</dc:creator>
  <cp:lastModifiedBy>锦柏文</cp:lastModifiedBy>
  <dcterms:modified xsi:type="dcterms:W3CDTF">2021-03-01T02:59:31Z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503854975_embed</vt:lpwstr>
  </property>
</Properties>
</file>